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58" w:rsidRPr="004644FB" w:rsidRDefault="00A36058" w:rsidP="005713FF">
      <w:pPr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</w:t>
      </w:r>
      <w:r w:rsidRPr="004644FB">
        <w:rPr>
          <w:rFonts w:ascii="Times New Roman" w:eastAsia="Times New Roman" w:hAnsi="Times New Roman" w:cs="Times New Roman"/>
          <w:bCs/>
          <w:lang w:eastAsia="ru-RU"/>
        </w:rPr>
        <w:t>УТВЕРЖДЕН</w:t>
      </w:r>
    </w:p>
    <w:p w:rsidR="00A36058" w:rsidRPr="004644FB" w:rsidRDefault="00A36058" w:rsidP="005713FF">
      <w:pPr>
        <w:tabs>
          <w:tab w:val="left" w:pos="80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4644FB">
        <w:rPr>
          <w:rFonts w:ascii="Times New Roman" w:eastAsia="Times New Roman" w:hAnsi="Times New Roman" w:cs="Times New Roman"/>
          <w:bCs/>
          <w:lang w:eastAsia="ru-RU"/>
        </w:rPr>
        <w:t>постановлением администрации</w:t>
      </w:r>
    </w:p>
    <w:p w:rsidR="00A36058" w:rsidRPr="004644FB" w:rsidRDefault="00FB78E1" w:rsidP="005713FF">
      <w:pPr>
        <w:tabs>
          <w:tab w:val="left" w:pos="80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4644FB">
        <w:rPr>
          <w:rFonts w:ascii="Times New Roman" w:eastAsia="Times New Roman" w:hAnsi="Times New Roman" w:cs="Times New Roman"/>
          <w:bCs/>
          <w:lang w:eastAsia="ru-RU"/>
        </w:rPr>
        <w:t xml:space="preserve">Зоновского сельсовета </w:t>
      </w:r>
      <w:r w:rsidR="00A36058" w:rsidRPr="004644FB">
        <w:rPr>
          <w:rFonts w:ascii="Times New Roman" w:eastAsia="Times New Roman" w:hAnsi="Times New Roman" w:cs="Times New Roman"/>
          <w:bCs/>
          <w:lang w:eastAsia="ru-RU"/>
        </w:rPr>
        <w:t xml:space="preserve">Куйбышевского </w:t>
      </w:r>
    </w:p>
    <w:p w:rsidR="00A36058" w:rsidRPr="004644FB" w:rsidRDefault="00A36058" w:rsidP="005713FF">
      <w:pPr>
        <w:tabs>
          <w:tab w:val="left" w:pos="80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4644FB">
        <w:rPr>
          <w:rFonts w:ascii="Times New Roman" w:eastAsia="Times New Roman" w:hAnsi="Times New Roman" w:cs="Times New Roman"/>
          <w:bCs/>
          <w:lang w:eastAsia="ru-RU"/>
        </w:rPr>
        <w:t>района Новосибирской области</w:t>
      </w:r>
    </w:p>
    <w:p w:rsidR="00A36058" w:rsidRPr="00A36058" w:rsidRDefault="00A36058" w:rsidP="005713FF">
      <w:pPr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644FB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от  </w:t>
      </w:r>
      <w:r w:rsidR="004644FB">
        <w:rPr>
          <w:rFonts w:ascii="Times New Roman" w:eastAsia="Times New Roman" w:hAnsi="Times New Roman" w:cs="Times New Roman"/>
          <w:bCs/>
          <w:lang w:eastAsia="ru-RU"/>
        </w:rPr>
        <w:t>31.10.2023</w:t>
      </w:r>
      <w:r w:rsidR="0006233E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Pr="004644FB">
        <w:rPr>
          <w:rFonts w:ascii="Times New Roman" w:eastAsia="Times New Roman" w:hAnsi="Times New Roman" w:cs="Times New Roman"/>
          <w:bCs/>
          <w:lang w:eastAsia="ru-RU"/>
        </w:rPr>
        <w:t xml:space="preserve">  №</w:t>
      </w:r>
      <w:r w:rsidR="004644FB">
        <w:rPr>
          <w:rFonts w:ascii="Times New Roman" w:eastAsia="Times New Roman" w:hAnsi="Times New Roman" w:cs="Times New Roman"/>
          <w:bCs/>
          <w:lang w:eastAsia="ru-RU"/>
        </w:rPr>
        <w:t>99-2</w:t>
      </w:r>
    </w:p>
    <w:p w:rsidR="000E44BC" w:rsidRDefault="000E44BC" w:rsidP="005713FF">
      <w:pPr>
        <w:autoSpaceDE w:val="0"/>
        <w:autoSpaceDN w:val="0"/>
        <w:adjustRightInd w:val="0"/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DD1DBA" w:rsidRPr="00DC5F69" w:rsidRDefault="00DD1DBA" w:rsidP="005713FF">
      <w:pPr>
        <w:autoSpaceDE w:val="0"/>
        <w:autoSpaceDN w:val="0"/>
        <w:adjustRightInd w:val="0"/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DC5F6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Порядок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DC5F6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формирования и ведения реестра источников доходов бюджета </w:t>
      </w:r>
      <w:r w:rsidR="00FB78E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Зоновского сельсовета </w:t>
      </w:r>
      <w:r w:rsidR="002D4F7F" w:rsidRPr="00DC5F6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Куйбышевского района</w:t>
      </w:r>
      <w:r w:rsidR="00D24508" w:rsidRPr="00DC5F6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Новосибирской области</w:t>
      </w:r>
    </w:p>
    <w:p w:rsidR="00DD1DBA" w:rsidRPr="00DC5F69" w:rsidRDefault="00DD1DBA" w:rsidP="005713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350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</w:t>
      </w:r>
      <w:r w:rsidR="0075619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определяет общие требования к составу информации, порядку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формирования и ведения реестра источников доходов 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D2450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D2450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Новосибирской области </w:t>
      </w:r>
      <w:r w:rsidR="0075619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Порядок).</w:t>
      </w:r>
    </w:p>
    <w:p w:rsidR="00DD1DBA" w:rsidRPr="00DC5F69" w:rsidRDefault="00DD1DBA" w:rsidP="005713FF">
      <w:pPr>
        <w:widowControl w:val="0"/>
        <w:numPr>
          <w:ilvl w:val="0"/>
          <w:numId w:val="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Реестр источников доходов 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F46C7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6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реестр источников доходов бюджета) </w:t>
      </w:r>
      <w:r w:rsidR="00822CA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представляет собой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свод информации о доходах бюджета по источникам доходов 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формируемой в процессе составления, утверждения и исполнения 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D2450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перечня источников доходов (далее - перечень источников доходов).</w:t>
      </w:r>
    </w:p>
    <w:p w:rsidR="00DD1DBA" w:rsidRPr="00DC5F69" w:rsidRDefault="00DD1DBA" w:rsidP="005713FF">
      <w:pPr>
        <w:widowControl w:val="0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источников доходов бюджета формируется и ведется как единый информационный ресурс, в котором отражаются бюджетные данные на этапах составления, утверждения и исполнения решения о бюджете</w:t>
      </w:r>
      <w:r w:rsidR="007A5E6E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D2450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E6E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Решение о бюджете)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источникам доходов бюджета и соответствующим им группам источников доходов бюджета, включенным в перечень источников доходов</w:t>
      </w:r>
      <w:r w:rsidR="00BF0A3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бюджета.</w:t>
      </w:r>
    </w:p>
    <w:p w:rsidR="002A34E1" w:rsidRPr="00DC5F69" w:rsidRDefault="00BA55F5" w:rsidP="005713FF">
      <w:pPr>
        <w:widowControl w:val="0"/>
        <w:numPr>
          <w:ilvl w:val="0"/>
          <w:numId w:val="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Реестр источников доходов 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ведется в порядке, установленном администрацией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1DBA" w:rsidRPr="00CA2359" w:rsidRDefault="00DD1DBA" w:rsidP="005713FF">
      <w:pPr>
        <w:widowControl w:val="0"/>
        <w:numPr>
          <w:ilvl w:val="0"/>
          <w:numId w:val="1"/>
        </w:numPr>
        <w:tabs>
          <w:tab w:val="left" w:pos="1003"/>
        </w:tabs>
        <w:autoSpaceDE w:val="0"/>
        <w:autoSpaceDN w:val="0"/>
        <w:adjustRightInd w:val="0"/>
        <w:spacing w:before="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источников доходов бюджета формируется и ведется в электронной форме.</w:t>
      </w:r>
    </w:p>
    <w:bookmarkEnd w:id="0"/>
    <w:p w:rsidR="00DD1DBA" w:rsidRPr="00DC5F69" w:rsidRDefault="00DD1DBA" w:rsidP="005713FF">
      <w:pPr>
        <w:widowControl w:val="0"/>
        <w:numPr>
          <w:ilvl w:val="0"/>
          <w:numId w:val="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источников доходов бюджета</w:t>
      </w:r>
      <w:r w:rsidR="00F46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включая информацию,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</w:t>
      </w:r>
      <w:r w:rsidR="00F46C7A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на государственном языке Российской Федерации.</w:t>
      </w:r>
    </w:p>
    <w:p w:rsidR="00DD1DBA" w:rsidRPr="005713FF" w:rsidRDefault="00DD1DBA" w:rsidP="005713FF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источников доходов бюджета, хранится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  <w:bookmarkStart w:id="1" w:name="bookmark0"/>
      <w:bookmarkEnd w:id="1"/>
    </w:p>
    <w:p w:rsidR="00DD1DBA" w:rsidRPr="00DC5F69" w:rsidRDefault="00EA43A1" w:rsidP="00EA43A1">
      <w:pPr>
        <w:widowControl w:val="0"/>
        <w:tabs>
          <w:tab w:val="left" w:pos="709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43A1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692EF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Реестр источников доходов бюджета ведется </w:t>
      </w:r>
      <w:r w:rsidR="00190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финансовым органом </w:t>
      </w:r>
      <w:r w:rsidR="00692EF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</w:t>
      </w:r>
      <w:r w:rsidR="00190B6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92EF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190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2EF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157BD1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 орган</w:t>
      </w:r>
      <w:r w:rsidR="00692EF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713FF" w:rsidRDefault="003A672F" w:rsidP="005713F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43A1" w:rsidRPr="00EA43A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D4F7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ведения реестра источников доходов бюджета</w:t>
      </w:r>
      <w:r w:rsidR="00FC3A96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структурные подразделения администрации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C3A96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учреждения,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осуществляющие бюджетные полномочия главных администраторов доходов бюджета и (или) администраторов доходов бюджета, </w:t>
      </w:r>
      <w:r w:rsidR="00FC3A96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структурные подразделения администрации, учреждения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осуществляющие оказание (выполнение) муниципальных услуг (выполнение работ), предусматривающих за их оказание (выполнение) взимание платы по источнику доходов бюджета (в случае если указанные </w:t>
      </w:r>
      <w:r w:rsidR="000140A2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структурные подразделения администрации, учреждения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осуществляют бюджетных полномочий администраторов доходов бюджета) (далее - участники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процесса ведения реестра источников доходов бюджета), обеспечивают представление сведений, необходимых для ведения реестра источников доходов бюджета, в соответствии с настоящим Порядком.</w:t>
      </w:r>
    </w:p>
    <w:p w:rsidR="00DD1DBA" w:rsidRDefault="005713FF" w:rsidP="00EA43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43A1" w:rsidRPr="0062276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.Ответственность за полноту и достоверность информации, а также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своевременность ее включения в реестр источников доходов бюджета несут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участники процесса ведения реестра источников доходов бюджета.</w:t>
      </w:r>
    </w:p>
    <w:p w:rsidR="00EA43A1" w:rsidRPr="00DC5F69" w:rsidRDefault="00EA43A1" w:rsidP="006227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43A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 формировании и ведении реестра источников доходов бюджета в информационной системе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используются усиленные квалифицированные электронные подписи лиц, уполномоченных действовать от имени участников процесса ведения реестров источников доходов бюджета (далее - электронные подписи), указанных в</w:t>
      </w:r>
      <w:hyperlink w:anchor="bookmark0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пункте </w:t>
        </w:r>
        <w:r w:rsidR="0013439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8</w:t>
        </w:r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Порядка.</w:t>
      </w:r>
    </w:p>
    <w:p w:rsidR="00DD1DBA" w:rsidRPr="00DC5F69" w:rsidRDefault="00C43606" w:rsidP="005713F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bookmark2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bookmarkEnd w:id="2"/>
      <w:r w:rsidR="00B37DA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реестр источников доходов бюджета в отношении каждого источника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доходов бюджета включается следующая информация:</w:t>
      </w:r>
    </w:p>
    <w:p w:rsidR="00DD1DBA" w:rsidRPr="00DC5F69" w:rsidRDefault="00D818E6" w:rsidP="005713FF">
      <w:pPr>
        <w:tabs>
          <w:tab w:val="left" w:pos="1134"/>
          <w:tab w:val="left" w:pos="1354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11.1.</w:t>
      </w:r>
      <w:r w:rsidR="00DF2B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источника дохода бюджета;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(коды) классификации доходов бюджета, соответствующий источнику дохода бюджета, и идентификационный код источника доходов бюджета по перечню источников доходов</w:t>
      </w:r>
      <w:r w:rsidR="00CE0CF3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группы источников доходов бюджетов, в которую входит источник дохода бюджета, и ее идентификационный код по перечню источников доходов</w:t>
      </w:r>
      <w:r w:rsidR="00CE0CF3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bookmark3"/>
      <w:bookmarkEnd w:id="3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bookmark4"/>
      <w:bookmarkEnd w:id="4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органах, осуществляющих бюджетные полномочия главного администратора доходов бюджета;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bookmark5"/>
      <w:bookmarkEnd w:id="5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р</w:t>
      </w:r>
      <w:r w:rsidR="001E3B8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ешения о бюджете</w:t>
      </w:r>
      <w:r w:rsidR="00A6535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bookmark6"/>
      <w:bookmarkEnd w:id="6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:rsidR="00DD1DBA" w:rsidRPr="00DC5F69" w:rsidRDefault="00DD1DBA" w:rsidP="005713FF">
      <w:pPr>
        <w:widowControl w:val="0"/>
        <w:numPr>
          <w:ilvl w:val="0"/>
          <w:numId w:val="3"/>
        </w:numPr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прогноза доходов бюджета по коду классификации доходов бюджета, соответствующему источнику дохода бюджета, принимающие</w:t>
      </w:r>
      <w:bookmarkStart w:id="7" w:name="bookmark7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</w:t>
      </w:r>
      <w:bookmarkEnd w:id="7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начения прогнозируемого общего объема доходов бюджета в соответствии с решением о бюджете с учетом решения о внесении изменений в решение о бюджете;</w:t>
      </w:r>
    </w:p>
    <w:p w:rsidR="00DD1DBA" w:rsidRPr="00DC5F69" w:rsidRDefault="00DD1DBA" w:rsidP="005713FF">
      <w:pPr>
        <w:widowControl w:val="0"/>
        <w:numPr>
          <w:ilvl w:val="0"/>
          <w:numId w:val="4"/>
        </w:numPr>
        <w:tabs>
          <w:tab w:val="left" w:pos="154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bookmark8"/>
      <w:bookmarkEnd w:id="8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DD1DBA" w:rsidRPr="00DC5F69" w:rsidRDefault="00DD1DBA" w:rsidP="005713FF">
      <w:pPr>
        <w:widowControl w:val="0"/>
        <w:numPr>
          <w:ilvl w:val="0"/>
          <w:numId w:val="4"/>
        </w:numPr>
        <w:tabs>
          <w:tab w:val="left" w:pos="154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" w:name="bookmark9"/>
      <w:bookmarkEnd w:id="9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кассовых поступлений по коду классификации доходов бюджета, соответствующему источнику дохода бюджета;</w:t>
      </w:r>
    </w:p>
    <w:p w:rsidR="00DD1DBA" w:rsidRPr="00DC5F69" w:rsidRDefault="00DD1DBA" w:rsidP="005713FF">
      <w:pPr>
        <w:widowControl w:val="0"/>
        <w:numPr>
          <w:ilvl w:val="0"/>
          <w:numId w:val="4"/>
        </w:numPr>
        <w:tabs>
          <w:tab w:val="left" w:pos="154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0" w:name="bookmark10"/>
      <w:bookmarkEnd w:id="10"/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 бюджете.</w:t>
      </w:r>
    </w:p>
    <w:p w:rsidR="00E665FC" w:rsidRPr="00DC5F69" w:rsidRDefault="00E665FC" w:rsidP="005713FF">
      <w:pPr>
        <w:widowControl w:val="0"/>
        <w:numPr>
          <w:ilvl w:val="0"/>
          <w:numId w:val="4"/>
        </w:numPr>
        <w:tabs>
          <w:tab w:val="left" w:pos="154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иная информация,</w:t>
      </w:r>
      <w:r w:rsidR="00E75FA4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предусмотренная порядками формирования и ведения реестров источников доходов бюджета</w:t>
      </w:r>
      <w:r w:rsidR="00E75FA4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 в установленном порядке.</w:t>
      </w:r>
    </w:p>
    <w:p w:rsidR="00DD1DBA" w:rsidRPr="00DC5F69" w:rsidRDefault="00E75FA4" w:rsidP="005713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.В реестре источников доходов бюджета также формируется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консолидированная и (или) сводная информация по группам источников доходов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бюджета по показателям прогнозов доходов бюджета на этапах составления,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утверждения и исполнения 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о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кассовым поступлениям по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доходам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с указанием сведений о группах источников доходов бюджета на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основе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перечня источников доходов</w:t>
      </w:r>
      <w:r w:rsidR="00AE2C69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1DBA" w:rsidRPr="00DC5F69" w:rsidRDefault="00AF1577" w:rsidP="005713F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5FA4"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FA4"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D1DBA"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Информация, указанная в </w:t>
      </w:r>
      <w:r w:rsidR="00DC7604"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hyperlink w:anchor="bookmark2" w:history="1">
        <w:r w:rsidR="00DD1DBA" w:rsidRPr="00CA235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пунктах 11.1</w:t>
        </w:r>
      </w:hyperlink>
      <w:hyperlink w:anchor="bookmark3" w:history="1">
        <w:r w:rsidR="00DD1DBA" w:rsidRPr="00CA235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-11.5</w:t>
        </w:r>
      </w:hyperlink>
      <w:r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 формируется и изменяется на основе перечня источников доходов путем обмена данными между информационными системами, в которых осуществляется формирование и ведение перечня источников доходов и реестра источников доходов бюджета.</w:t>
      </w:r>
    </w:p>
    <w:p w:rsidR="00DD1DBA" w:rsidRPr="00DC5F69" w:rsidRDefault="00DD1DBA" w:rsidP="005713FF">
      <w:pPr>
        <w:widowControl w:val="0"/>
        <w:numPr>
          <w:ilvl w:val="0"/>
          <w:numId w:val="7"/>
        </w:numPr>
        <w:tabs>
          <w:tab w:val="left" w:pos="12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Информация, указанная в </w:t>
      </w:r>
      <w:r w:rsidR="00DC7604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hyperlink w:anchor="bookmark4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пунктах 11.6</w:t>
        </w:r>
      </w:hyperlink>
      <w:hyperlink w:anchor="bookmark7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-11.9</w:t>
        </w:r>
      </w:hyperlink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формируется и ведется на основании прогно</w:t>
      </w:r>
      <w:r w:rsidR="00DC7604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 поступления доходов бюджета, информация, указанная в подпунктах 11.7-11.8 настоящего документа, формируется и ведется на основании Решений о бюджете.</w:t>
      </w:r>
    </w:p>
    <w:p w:rsidR="00DD1DBA" w:rsidRPr="00DC5F69" w:rsidRDefault="00EA6EDF" w:rsidP="005713FF">
      <w:pPr>
        <w:tabs>
          <w:tab w:val="left" w:pos="1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.Информация, указанная в </w:t>
      </w:r>
      <w:r w:rsidR="00E24A0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hyperlink w:anchor="bookmark8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11.10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формируется на основании соответствующих сведений реестра источников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формируемого в </w:t>
      </w:r>
      <w:r w:rsidR="00DF1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установленном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1DBA" w:rsidRPr="00DC5F69" w:rsidRDefault="008764BE" w:rsidP="005713FF">
      <w:pPr>
        <w:tabs>
          <w:tab w:val="left" w:pos="1219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627A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.Администрация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7A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7A8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включение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источников доходов бюджета информаци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указанной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w:anchor="bookmark1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</w:t>
        </w:r>
        <w:r w:rsidR="0089614B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11</w:t>
        </w:r>
      </w:hyperlink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 в следующие сроки:</w:t>
      </w:r>
    </w:p>
    <w:p w:rsidR="00E24A0B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4A0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информации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указанную в </w:t>
      </w:r>
      <w:r w:rsidR="00E24A0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hyperlink w:anchor="bookmark2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пунктах 11.1 </w:t>
        </w:r>
      </w:hyperlink>
      <w:hyperlink w:anchor="bookmark3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-11.5</w:t>
        </w:r>
      </w:hyperlink>
      <w:r w:rsidR="00E24A0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 - незамедлительно, но не позднее одного рабочего дня с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89614B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ня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внесения указанной информации в перечень источников доходов, реестр источников доходов;</w:t>
      </w:r>
    </w:p>
    <w:p w:rsidR="001E1CE6" w:rsidRPr="00DC5F69" w:rsidRDefault="00E24A0B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16.2</w:t>
      </w:r>
      <w:r w:rsidR="00A925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указанную в </w:t>
      </w:r>
      <w:hyperlink w:anchor="bookmark5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пунктах 11.7,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w:anchor="bookmark6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11.8,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11.9,</w:t>
      </w:r>
      <w:hyperlink w:anchor="bookmark9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11.11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- не позднее пяти рабочих дней с даты принятия или внесения изменений в решение о бюджете и решение об исполнении 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E1CE6" w:rsidRPr="00DC5F69" w:rsidRDefault="001E1CE6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16.3</w:t>
      </w:r>
      <w:r w:rsidR="00A925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указанную в </w:t>
      </w:r>
      <w:hyperlink w:anchor="bookmark7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11.9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-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установленному в соответствии с бюджетным законодательством порядку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ведения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прогноза доходов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Зоновского сельсовета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Куйбышевского </w:t>
      </w:r>
      <w:r w:rsidR="00FB78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FB78E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 не позднее десятого рабочего дня каждого месяца года;</w:t>
      </w:r>
    </w:p>
    <w:p w:rsidR="00C920AE" w:rsidRPr="00DC5F69" w:rsidRDefault="001E1CE6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16.4</w:t>
      </w:r>
      <w:r w:rsidR="00A925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20AE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указанную в</w:t>
      </w:r>
      <w:hyperlink w:anchor="bookmark4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пункте 11.6</w:t>
        </w:r>
        <w:r w:rsidR="00C920AE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 11.12 </w:t>
        </w:r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Порядка, - в сроки, установленные в </w:t>
      </w:r>
      <w:r w:rsidR="00C920AE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 ведения соответствующего реестра источников доходов бюджета;</w:t>
      </w:r>
    </w:p>
    <w:p w:rsidR="00B23DF9" w:rsidRPr="00DC5F69" w:rsidRDefault="007E27B6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16.5</w:t>
      </w:r>
      <w:r w:rsidR="00A925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указанную в</w:t>
      </w:r>
      <w:hyperlink w:anchor="bookmark8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пунктах 11.10</w:t>
        </w:r>
      </w:hyperlink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w:anchor="bookmark16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Порядка, -в соответствии с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установленными в соответствии бюджетным законодательством порядками ведения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кассового плана исполнения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предоставления сведений для ведения кассового плана исполнения бюджета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 не позднее десятого рабочего дня каждого месяца года;</w:t>
      </w:r>
      <w:bookmarkStart w:id="11" w:name="bookmark18"/>
      <w:bookmarkEnd w:id="11"/>
    </w:p>
    <w:p w:rsidR="00B23DF9" w:rsidRPr="00DC5F69" w:rsidRDefault="00B23DF9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17.</w:t>
      </w:r>
      <w:r w:rsidR="004D56A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 орган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информации, указанной в </w:t>
      </w:r>
      <w:hyperlink w:anchor="bookmark1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пунктах 11 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 обеспечивает в авт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оматизированном режиме проверку:</w:t>
      </w:r>
    </w:p>
    <w:p w:rsidR="00B23DF9" w:rsidRPr="00DC5F69" w:rsidRDefault="00B23DF9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17.1наличия информации в соответствии с пунктом 11 настоящего Порядка;</w:t>
      </w:r>
    </w:p>
    <w:p w:rsidR="00DB4C58" w:rsidRPr="00DC5F69" w:rsidRDefault="00DB4C58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17.2 соответствия порядка формирования информации правилам, установленным в соответствии с пунктом 2</w:t>
      </w:r>
      <w:r w:rsidR="00C23FA0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522BAF" w:rsidRPr="00DC5F69" w:rsidRDefault="00522BAF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17.3 соответствия информации иным нормам, установленным в порядке ведения реестра источников доходов бюджета (при наличии);</w:t>
      </w:r>
    </w:p>
    <w:p w:rsidR="00DD1DBA" w:rsidRPr="00DC5F69" w:rsidRDefault="00522BAF" w:rsidP="0057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18.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положительного результата проверки, указанной в </w:t>
      </w:r>
      <w:hyperlink w:anchor="bookmark17" w:history="1"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7</w:t>
        </w:r>
        <w:r w:rsidR="00DD1DBA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Порядка, информация, представленная участником процесса ведения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реестра источников доходов бюджета, образует реестров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запис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источник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дохода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реестра источников доходов бюджета</w:t>
      </w:r>
      <w:r w:rsidR="00BB3E22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которым администрация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присваивает уникальны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</w:t>
      </w:r>
      <w:r w:rsidR="00B02971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направлении участником процесса ведения реестра источников доходов бюджета измененной информации, указанной в </w:t>
      </w:r>
      <w:hyperlink w:anchor="bookmark1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пунктах 11 </w:t>
        </w:r>
      </w:hyperlink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 ранее образованные реестровые записи обновляются.</w:t>
      </w:r>
    </w:p>
    <w:p w:rsidR="005C5893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отрицательного результата проверки, указанной в </w:t>
      </w:r>
      <w:hyperlink w:anchor="bookmark17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  <w:r w:rsidR="00603B96"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7</w:t>
        </w:r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Порядка, информация, представленная участником процесса ведения реестра источников доходов бюджета в соответствии с </w:t>
      </w:r>
      <w:hyperlink w:anchor="bookmark1" w:history="1">
        <w:r w:rsidRPr="00DC5F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пунктами 11 </w:t>
        </w:r>
      </w:hyperlink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 не образует (не обновляет) реестровые записи. В указан</w:t>
      </w:r>
      <w:r w:rsidR="00BB3E22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 случае </w:t>
      </w:r>
      <w:r w:rsidR="00EF6ED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 орган</w:t>
      </w:r>
      <w:r w:rsidR="00BF0D8E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пунктом </w:t>
      </w:r>
      <w:r w:rsidR="00EF6ED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F0D8E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084CE2" w:rsidRPr="00DC5F69" w:rsidRDefault="005C5893" w:rsidP="005713FF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19.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получения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предусмотренного пунктом 18 настоящего Порядка протокола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процесса ведения реестра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источников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доходов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не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трех рабочих дней 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протокола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устраняет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выявленные несоответствия и повторно представляет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включения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реестр источников доходов бюджета.</w:t>
      </w:r>
    </w:p>
    <w:p w:rsidR="00DD1DBA" w:rsidRPr="00DC5F69" w:rsidRDefault="00FF27A5" w:rsidP="005713FF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84CE2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.Уникальный номер реестровой записи источника дохода бюджета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реестра источников доходов бюджета имеет следующую структуру: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1, 2, 3, 4, 5 разряды - коды группы дохода, подгруппы дохода и элемента дохода, кода вида доходов бюджета классификации доходов бюджета, соответствующие источнику дохода бюджета;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7, 8, 9, 10, 11, 12, 13, 14, 15, 16, 17, 18, 19, 20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,21,22,23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разряды - идентификационный код источника дохода бюджета в соответствии с перечнем источников доходов</w:t>
      </w:r>
      <w:r w:rsidR="00FF27A5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2306AF" w:rsidP="00571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DD1DBA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разряд -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left="7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действующий источник доходов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left="73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0 -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недействующий источник доходов, находящийся в архиве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D1DBA" w:rsidRPr="00DC5F69" w:rsidRDefault="00DD1DBA" w:rsidP="005713FF">
      <w:pPr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5, 26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разряды - последние две цифры года формирования реестровой записи источника дохода бюджета реестра источников доходов бюджета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25566" w:rsidRPr="00DC5F69" w:rsidRDefault="00DD1DBA" w:rsidP="005713FF">
      <w:pPr>
        <w:autoSpaceDE w:val="0"/>
        <w:autoSpaceDN w:val="0"/>
        <w:adjustRightInd w:val="0"/>
        <w:spacing w:before="67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2306AF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,28,29,30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разряды - порядковый номер версии реестровой записи источника дохода бюджета реестра источников доходов бюджета.</w:t>
      </w:r>
    </w:p>
    <w:p w:rsidR="00445158" w:rsidRPr="00DC5F69" w:rsidRDefault="00445158" w:rsidP="00571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21. Реестр источников доходов бюджета направляются в составе документов и материалов, предоставляемых одновременно с проектом бюджета</w:t>
      </w:r>
      <w:r w:rsidR="00AA7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установленной настоящим Порядком</w:t>
      </w: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5158" w:rsidRPr="00DC5F69" w:rsidRDefault="00445158" w:rsidP="00571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 Формирование информации, предусмотренной подпунктами 11.1-11.11 настоящего Порядка, для включения в реестр источников доходов бюджета осуществляется в </w:t>
      </w:r>
      <w:r w:rsidR="00546799" w:rsidRPr="00CA2359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форме.</w:t>
      </w:r>
    </w:p>
    <w:p w:rsidR="00445158" w:rsidRDefault="00445158" w:rsidP="00571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 Реестр источников доходов бюджета размещается </w:t>
      </w:r>
      <w:r w:rsidR="00C23FA0" w:rsidRPr="00DC5F6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в информационно-телекоммуникационной сети «Интернет».</w:t>
      </w:r>
    </w:p>
    <w:sectPr w:rsidR="00445158" w:rsidSect="0069518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A69" w:rsidRDefault="00161A69" w:rsidP="00C92C39">
      <w:pPr>
        <w:spacing w:after="0" w:line="240" w:lineRule="auto"/>
      </w:pPr>
      <w:r>
        <w:separator/>
      </w:r>
    </w:p>
  </w:endnote>
  <w:endnote w:type="continuationSeparator" w:id="0">
    <w:p w:rsidR="00161A69" w:rsidRDefault="00161A69" w:rsidP="00C92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A69" w:rsidRDefault="00161A69" w:rsidP="00C92C39">
      <w:pPr>
        <w:spacing w:after="0" w:line="240" w:lineRule="auto"/>
      </w:pPr>
      <w:r>
        <w:separator/>
      </w:r>
    </w:p>
  </w:footnote>
  <w:footnote w:type="continuationSeparator" w:id="0">
    <w:p w:rsidR="00161A69" w:rsidRDefault="00161A69" w:rsidP="00C92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20D2"/>
    <w:multiLevelType w:val="singleLevel"/>
    <w:tmpl w:val="A1D0492A"/>
    <w:lvl w:ilvl="0">
      <w:start w:val="24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">
    <w:nsid w:val="08C52591"/>
    <w:multiLevelType w:val="singleLevel"/>
    <w:tmpl w:val="B1B4BB7A"/>
    <w:lvl w:ilvl="0">
      <w:start w:val="2"/>
      <w:numFmt w:val="decimal"/>
      <w:lvlText w:val="18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2">
    <w:nsid w:val="091B0903"/>
    <w:multiLevelType w:val="singleLevel"/>
    <w:tmpl w:val="B71EAD1E"/>
    <w:lvl w:ilvl="0">
      <w:start w:val="2"/>
      <w:numFmt w:val="decimal"/>
      <w:lvlText w:val="11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3">
    <w:nsid w:val="18E6632F"/>
    <w:multiLevelType w:val="singleLevel"/>
    <w:tmpl w:val="9EE67466"/>
    <w:lvl w:ilvl="0">
      <w:start w:val="14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0A50B96"/>
    <w:multiLevelType w:val="singleLevel"/>
    <w:tmpl w:val="726E59E4"/>
    <w:lvl w:ilvl="0">
      <w:start w:val="8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29D038B7"/>
    <w:multiLevelType w:val="singleLevel"/>
    <w:tmpl w:val="0862F22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00C6A13"/>
    <w:multiLevelType w:val="singleLevel"/>
    <w:tmpl w:val="77962DD0"/>
    <w:lvl w:ilvl="0">
      <w:start w:val="19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7">
    <w:nsid w:val="7CD30415"/>
    <w:multiLevelType w:val="singleLevel"/>
    <w:tmpl w:val="78140F8E"/>
    <w:lvl w:ilvl="0">
      <w:start w:val="5"/>
      <w:numFmt w:val="decimal"/>
      <w:lvlText w:val="12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11.%1.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10"/>
        <w:numFmt w:val="decimal"/>
        <w:lvlText w:val="12.%1."/>
        <w:legacy w:legacy="1" w:legacySpace="0" w:legacyIndent="7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DBA"/>
    <w:rsid w:val="000140A2"/>
    <w:rsid w:val="0006233E"/>
    <w:rsid w:val="00084CE2"/>
    <w:rsid w:val="000A6C14"/>
    <w:rsid w:val="000B0506"/>
    <w:rsid w:val="000E44BC"/>
    <w:rsid w:val="00102718"/>
    <w:rsid w:val="00134398"/>
    <w:rsid w:val="00157BD1"/>
    <w:rsid w:val="00161A69"/>
    <w:rsid w:val="00190B65"/>
    <w:rsid w:val="001A7F07"/>
    <w:rsid w:val="001E1CE6"/>
    <w:rsid w:val="001E3B81"/>
    <w:rsid w:val="001F2613"/>
    <w:rsid w:val="00213E37"/>
    <w:rsid w:val="002306AF"/>
    <w:rsid w:val="002A34E1"/>
    <w:rsid w:val="002D3B66"/>
    <w:rsid w:val="002D4F7F"/>
    <w:rsid w:val="00336796"/>
    <w:rsid w:val="00360A79"/>
    <w:rsid w:val="003A0D4A"/>
    <w:rsid w:val="003A672F"/>
    <w:rsid w:val="00445158"/>
    <w:rsid w:val="004644FB"/>
    <w:rsid w:val="004749FC"/>
    <w:rsid w:val="004D3AC6"/>
    <w:rsid w:val="004D56AE"/>
    <w:rsid w:val="004F3795"/>
    <w:rsid w:val="00511522"/>
    <w:rsid w:val="00522BAF"/>
    <w:rsid w:val="00546799"/>
    <w:rsid w:val="005713FF"/>
    <w:rsid w:val="005B3B51"/>
    <w:rsid w:val="005C5893"/>
    <w:rsid w:val="006007FD"/>
    <w:rsid w:val="00603B96"/>
    <w:rsid w:val="00622767"/>
    <w:rsid w:val="00690591"/>
    <w:rsid w:val="00692EFF"/>
    <w:rsid w:val="00695182"/>
    <w:rsid w:val="006F6B8B"/>
    <w:rsid w:val="00723D22"/>
    <w:rsid w:val="00725566"/>
    <w:rsid w:val="00756198"/>
    <w:rsid w:val="00761725"/>
    <w:rsid w:val="007A5E6E"/>
    <w:rsid w:val="007B1013"/>
    <w:rsid w:val="007C0889"/>
    <w:rsid w:val="007D1D9A"/>
    <w:rsid w:val="007E140F"/>
    <w:rsid w:val="007E27B6"/>
    <w:rsid w:val="00822CAA"/>
    <w:rsid w:val="008304FA"/>
    <w:rsid w:val="00850128"/>
    <w:rsid w:val="00865AE1"/>
    <w:rsid w:val="008764BE"/>
    <w:rsid w:val="0089614B"/>
    <w:rsid w:val="0098231E"/>
    <w:rsid w:val="00A36058"/>
    <w:rsid w:val="00A65359"/>
    <w:rsid w:val="00A92541"/>
    <w:rsid w:val="00AA7A32"/>
    <w:rsid w:val="00AE2C69"/>
    <w:rsid w:val="00AF1577"/>
    <w:rsid w:val="00B02971"/>
    <w:rsid w:val="00B03F0D"/>
    <w:rsid w:val="00B23DF9"/>
    <w:rsid w:val="00B37DA8"/>
    <w:rsid w:val="00B526F6"/>
    <w:rsid w:val="00B7699F"/>
    <w:rsid w:val="00BA55F5"/>
    <w:rsid w:val="00BB3E22"/>
    <w:rsid w:val="00BC044F"/>
    <w:rsid w:val="00BD1AB4"/>
    <w:rsid w:val="00BF0A35"/>
    <w:rsid w:val="00BF0D8E"/>
    <w:rsid w:val="00C23FA0"/>
    <w:rsid w:val="00C43606"/>
    <w:rsid w:val="00C7304F"/>
    <w:rsid w:val="00C920AE"/>
    <w:rsid w:val="00C92C39"/>
    <w:rsid w:val="00CA2359"/>
    <w:rsid w:val="00CA3322"/>
    <w:rsid w:val="00CB6140"/>
    <w:rsid w:val="00CE0CF3"/>
    <w:rsid w:val="00D14BFD"/>
    <w:rsid w:val="00D24508"/>
    <w:rsid w:val="00D514C1"/>
    <w:rsid w:val="00D627A8"/>
    <w:rsid w:val="00D801F2"/>
    <w:rsid w:val="00D818E6"/>
    <w:rsid w:val="00DB4C58"/>
    <w:rsid w:val="00DC121A"/>
    <w:rsid w:val="00DC49A9"/>
    <w:rsid w:val="00DC5F69"/>
    <w:rsid w:val="00DC7604"/>
    <w:rsid w:val="00DD1DBA"/>
    <w:rsid w:val="00DF1CF0"/>
    <w:rsid w:val="00DF2BAF"/>
    <w:rsid w:val="00E10C45"/>
    <w:rsid w:val="00E24A0B"/>
    <w:rsid w:val="00E665FC"/>
    <w:rsid w:val="00E75FA4"/>
    <w:rsid w:val="00EA0240"/>
    <w:rsid w:val="00EA43A1"/>
    <w:rsid w:val="00EA6EDF"/>
    <w:rsid w:val="00EB2A4E"/>
    <w:rsid w:val="00EF6ED9"/>
    <w:rsid w:val="00F46C7A"/>
    <w:rsid w:val="00F63EFE"/>
    <w:rsid w:val="00FA4515"/>
    <w:rsid w:val="00FB78E1"/>
    <w:rsid w:val="00FC3A96"/>
    <w:rsid w:val="00FE22DE"/>
    <w:rsid w:val="00FF18DB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C39"/>
  </w:style>
  <w:style w:type="paragraph" w:styleId="a5">
    <w:name w:val="footer"/>
    <w:basedOn w:val="a"/>
    <w:link w:val="a6"/>
    <w:uiPriority w:val="99"/>
    <w:unhideWhenUsed/>
    <w:rsid w:val="00C92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2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C39"/>
  </w:style>
  <w:style w:type="paragraph" w:styleId="a5">
    <w:name w:val="footer"/>
    <w:basedOn w:val="a"/>
    <w:link w:val="a6"/>
    <w:uiPriority w:val="99"/>
    <w:unhideWhenUsed/>
    <w:rsid w:val="00C92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2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filippova_lv</dc:creator>
  <cp:lastModifiedBy>Zonovo</cp:lastModifiedBy>
  <cp:revision>76</cp:revision>
  <dcterms:created xsi:type="dcterms:W3CDTF">2023-07-26T08:44:00Z</dcterms:created>
  <dcterms:modified xsi:type="dcterms:W3CDTF">2023-11-14T11:08:00Z</dcterms:modified>
</cp:coreProperties>
</file>